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631" w:rsidRPr="009628F1" w:rsidRDefault="004F6631">
      <w:pPr>
        <w:rPr>
          <w:rFonts w:ascii="Times New Roman" w:hAnsi="Times New Roman"/>
          <w:b/>
          <w:bCs/>
          <w:color w:val="FFFFFF" w:themeColor="background1"/>
          <w:sz w:val="28"/>
          <w:szCs w:val="28"/>
        </w:rPr>
      </w:pPr>
    </w:p>
    <w:p w:rsidR="004F6631" w:rsidRDefault="0047527E">
      <w:r>
        <w:rPr>
          <w:rFonts w:ascii="Times New Roman" w:hAnsi="Times New Roman"/>
          <w:b/>
          <w:bCs/>
          <w:sz w:val="28"/>
          <w:szCs w:val="28"/>
        </w:rPr>
        <w:t xml:space="preserve">          Пояснительная записка к отчету о ходе реализации программы</w:t>
      </w:r>
    </w:p>
    <w:p w:rsidR="004F6631" w:rsidRDefault="0047527E">
      <w:pPr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«Энергосбережение и  повышение энергетической эффективности»</w:t>
      </w:r>
    </w:p>
    <w:p w:rsidR="004F6631" w:rsidRDefault="0047527E">
      <w:pPr>
        <w:pStyle w:val="ab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АО «Учалинские электрические сети» </w:t>
      </w:r>
    </w:p>
    <w:p w:rsidR="004F6631" w:rsidRDefault="0047527E">
      <w:pPr>
        <w:pStyle w:val="ab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за 20</w:t>
      </w:r>
      <w:r w:rsidRPr="00C8012A">
        <w:rPr>
          <w:rFonts w:ascii="Times New Roman" w:hAnsi="Times New Roman"/>
          <w:b/>
          <w:bCs/>
          <w:sz w:val="28"/>
          <w:szCs w:val="28"/>
        </w:rPr>
        <w:t>2</w:t>
      </w:r>
      <w:r w:rsidR="009D730A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>г.</w:t>
      </w:r>
    </w:p>
    <w:p w:rsidR="004F6631" w:rsidRDefault="004F6631">
      <w:pPr>
        <w:pStyle w:val="ab"/>
        <w:rPr>
          <w:rFonts w:ascii="Times New Roman" w:hAnsi="Times New Roman"/>
          <w:sz w:val="28"/>
          <w:szCs w:val="28"/>
        </w:rPr>
      </w:pPr>
    </w:p>
    <w:p w:rsidR="004F6631" w:rsidRDefault="0047527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соответствие с Федеральным законом от 23.11.2009г. №261-ФЗ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(далее-Федеральный закон) разработаны мероприятия по энергосбережению и повышению энергетической эффективности АО «Учалинские электрические сети» на 20</w:t>
      </w:r>
      <w:r w:rsidR="00E91304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-202</w:t>
      </w:r>
      <w:r w:rsidR="00E9130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 (далее-Программа).</w:t>
      </w:r>
    </w:p>
    <w:p w:rsidR="004F6631" w:rsidRDefault="0047527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F6631" w:rsidRDefault="0047527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>Цель Программы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 :</w:t>
      </w:r>
      <w:proofErr w:type="gramEnd"/>
    </w:p>
    <w:p w:rsidR="004F6631" w:rsidRDefault="0047527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bookmarkStart w:id="0" w:name="__DdeLink__389_1939478907"/>
      <w:bookmarkEnd w:id="0"/>
      <w:r>
        <w:rPr>
          <w:rFonts w:ascii="Times New Roman" w:hAnsi="Times New Roman"/>
          <w:sz w:val="28"/>
          <w:szCs w:val="28"/>
        </w:rPr>
        <w:t>повышение надежности электроснабжения потребителей общества;</w:t>
      </w:r>
    </w:p>
    <w:p w:rsidR="004F6631" w:rsidRDefault="0047527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потерь в сетях при транспортировке электрической энергии, повышение эффективности учета электрической энергии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4F6631" w:rsidRDefault="0047527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применение энергосберегающих технологий при реконструкции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капитальном ремонте основных фондов .</w:t>
      </w:r>
    </w:p>
    <w:p w:rsidR="004F6631" w:rsidRDefault="004F6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4F6631" w:rsidRDefault="0047527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>Задачи Программы:</w:t>
      </w:r>
    </w:p>
    <w:p w:rsidR="004F6631" w:rsidRDefault="0047527E">
      <w:pPr>
        <w:pStyle w:val="ab"/>
        <w:jc w:val="both"/>
      </w:pPr>
      <w:r>
        <w:rPr>
          <w:rFonts w:ascii="Times New Roman" w:hAnsi="Times New Roman"/>
          <w:sz w:val="28"/>
          <w:szCs w:val="28"/>
        </w:rPr>
        <w:t>- экономия электрической и тепловой  энергии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 горюче-смазочных материалов в результате проведения энергосберегающих мероприятий;</w:t>
      </w:r>
    </w:p>
    <w:p w:rsidR="004F6631" w:rsidRDefault="0047527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доли потерь в процессе транспортировки электроэнергии до потребителей;</w:t>
      </w:r>
    </w:p>
    <w:p w:rsidR="004F6631" w:rsidRDefault="0047527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сокращение коммерческих потерь путем внедрения системы АСКУЭ.</w:t>
      </w:r>
    </w:p>
    <w:p w:rsidR="004F6631" w:rsidRDefault="004F6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4F6631" w:rsidRDefault="0047527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показатель программы — экономия электрической энергии при ее транспортировке по электрическим сетям.</w:t>
      </w:r>
    </w:p>
    <w:p w:rsidR="004F6631" w:rsidRDefault="0047527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средств, направленных на реализацию мероприятий в 202</w:t>
      </w:r>
      <w:r w:rsidR="009D730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2757E2" w:rsidRPr="002757E2">
        <w:rPr>
          <w:rFonts w:ascii="Times New Roman" w:hAnsi="Times New Roman"/>
          <w:color w:val="auto"/>
          <w:sz w:val="28"/>
          <w:szCs w:val="28"/>
        </w:rPr>
        <w:t>36,985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F6631" w:rsidRDefault="004F6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4F6631" w:rsidRDefault="0047527E">
      <w:pPr>
        <w:pStyle w:val="ab"/>
        <w:jc w:val="center"/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bCs/>
          <w:sz w:val="28"/>
          <w:szCs w:val="28"/>
        </w:rPr>
        <w:t>Экономическая эффективность от реализации Программы</w:t>
      </w:r>
    </w:p>
    <w:p w:rsidR="004F6631" w:rsidRDefault="004F6631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4F6631" w:rsidRDefault="0047527E">
      <w:pPr>
        <w:pStyle w:val="ab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Установка расчетных приборов учета электрической энергии на границе балансовой принадлежности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 .</w:t>
      </w:r>
      <w:proofErr w:type="gramEnd"/>
    </w:p>
    <w:p w:rsidR="004F6631" w:rsidRDefault="004F6631">
      <w:pPr>
        <w:pStyle w:val="ab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1" w:name="_GoBack"/>
      <w:bookmarkEnd w:id="1"/>
    </w:p>
    <w:p w:rsidR="004F6631" w:rsidRDefault="0047527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Важным фактором, влияющим на достоверность учета электроэнергии, является тип расчетных приборов учета и их класс точности. </w:t>
      </w:r>
    </w:p>
    <w:p w:rsidR="004F6631" w:rsidRDefault="0047527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202</w:t>
      </w:r>
      <w:r w:rsidR="009D730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г. установлены счетчики электрической энергии (однофазные и трехфазные) серии Меркурий с классом точности 1 и подключены к системе АСКУЭ в количестве </w:t>
      </w:r>
      <w:r w:rsidR="005E6ECF">
        <w:rPr>
          <w:rFonts w:ascii="Times New Roman" w:hAnsi="Times New Roman"/>
          <w:sz w:val="28"/>
          <w:szCs w:val="28"/>
        </w:rPr>
        <w:t>4</w:t>
      </w:r>
      <w:r w:rsidR="009D730A">
        <w:rPr>
          <w:rFonts w:ascii="Times New Roman" w:hAnsi="Times New Roman"/>
          <w:sz w:val="28"/>
          <w:szCs w:val="28"/>
        </w:rPr>
        <w:t>79</w:t>
      </w:r>
      <w:r>
        <w:rPr>
          <w:rFonts w:ascii="Times New Roman" w:hAnsi="Times New Roman"/>
          <w:sz w:val="28"/>
          <w:szCs w:val="28"/>
        </w:rPr>
        <w:t xml:space="preserve"> шт.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CD2FF0">
        <w:rPr>
          <w:rFonts w:ascii="Times New Roman" w:hAnsi="Times New Roman"/>
          <w:sz w:val="28"/>
          <w:szCs w:val="28"/>
        </w:rPr>
        <w:t>УСПД-</w:t>
      </w:r>
      <w:r w:rsidR="005E6ECF">
        <w:rPr>
          <w:rFonts w:ascii="Times New Roman" w:hAnsi="Times New Roman"/>
          <w:sz w:val="28"/>
          <w:szCs w:val="28"/>
        </w:rPr>
        <w:t xml:space="preserve"> 1</w:t>
      </w:r>
      <w:r w:rsidR="009D730A">
        <w:rPr>
          <w:rFonts w:ascii="Times New Roman" w:hAnsi="Times New Roman"/>
          <w:sz w:val="28"/>
          <w:szCs w:val="28"/>
        </w:rPr>
        <w:t>4</w:t>
      </w:r>
      <w:r w:rsidR="00CD2F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2FF0">
        <w:rPr>
          <w:rFonts w:ascii="Times New Roman" w:hAnsi="Times New Roman"/>
          <w:sz w:val="28"/>
          <w:szCs w:val="28"/>
        </w:rPr>
        <w:t>шт</w:t>
      </w:r>
      <w:proofErr w:type="spellEnd"/>
      <w:r w:rsidR="00CD2FF0">
        <w:rPr>
          <w:rFonts w:ascii="Times New Roman" w:hAnsi="Times New Roman"/>
          <w:sz w:val="28"/>
          <w:szCs w:val="28"/>
        </w:rPr>
        <w:t>.,</w:t>
      </w:r>
      <w:r w:rsidR="009D730A">
        <w:rPr>
          <w:rFonts w:ascii="Times New Roman" w:hAnsi="Times New Roman"/>
          <w:sz w:val="28"/>
          <w:szCs w:val="28"/>
        </w:rPr>
        <w:t>ВОЛС -</w:t>
      </w:r>
      <w:r w:rsidR="00464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т.ч</w:t>
      </w:r>
      <w:r w:rsidR="002757E2">
        <w:rPr>
          <w:rFonts w:ascii="Times New Roman" w:hAnsi="Times New Roman"/>
          <w:sz w:val="28"/>
          <w:szCs w:val="28"/>
        </w:rPr>
        <w:t xml:space="preserve">12,7 км </w:t>
      </w:r>
      <w:r>
        <w:rPr>
          <w:rFonts w:ascii="Times New Roman" w:hAnsi="Times New Roman"/>
          <w:sz w:val="28"/>
          <w:szCs w:val="28"/>
        </w:rPr>
        <w:t>.:</w:t>
      </w:r>
    </w:p>
    <w:p w:rsidR="004F6631" w:rsidRDefault="004F6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4F6631" w:rsidRDefault="004F6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4F6631" w:rsidRDefault="004F6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4F6631" w:rsidRDefault="004F6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4F6631" w:rsidRDefault="004F6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tbl>
      <w:tblPr>
        <w:tblW w:w="10184" w:type="dxa"/>
        <w:tblInd w:w="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" w:type="dxa"/>
          <w:right w:w="28" w:type="dxa"/>
        </w:tblCellMar>
        <w:tblLook w:val="0000" w:firstRow="0" w:lastRow="0" w:firstColumn="0" w:lastColumn="0" w:noHBand="0" w:noVBand="0"/>
      </w:tblPr>
      <w:tblGrid>
        <w:gridCol w:w="3257"/>
        <w:gridCol w:w="1138"/>
        <w:gridCol w:w="1701"/>
        <w:gridCol w:w="1418"/>
        <w:gridCol w:w="1254"/>
        <w:gridCol w:w="1416"/>
      </w:tblGrid>
      <w:tr w:rsidR="004F6631" w:rsidTr="00455B8E">
        <w:trPr>
          <w:cantSplit/>
        </w:trPr>
        <w:tc>
          <w:tcPr>
            <w:tcW w:w="32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lastRenderedPageBreak/>
              <w:t>Пока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 xml:space="preserve">тель </w:t>
            </w:r>
          </w:p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(мощ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ность,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из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ность и т.п.)</w:t>
            </w:r>
          </w:p>
        </w:tc>
        <w:tc>
          <w:tcPr>
            <w:tcW w:w="11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Еди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 w:bidi="ar-SA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 w:bidi="ar-SA"/>
              </w:rPr>
              <w:softHyphen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ца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 xml:space="preserve"> из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 w:bidi="ar-SA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 w:bidi="ar-SA"/>
              </w:rPr>
              <w:softHyphen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ния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По проекту</w:t>
            </w:r>
          </w:p>
        </w:tc>
        <w:tc>
          <w:tcPr>
            <w:tcW w:w="26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Фактически</w:t>
            </w:r>
          </w:p>
        </w:tc>
      </w:tr>
      <w:tr w:rsidR="004F6631" w:rsidTr="00455B8E">
        <w:trPr>
          <w:cantSplit/>
        </w:trPr>
        <w:tc>
          <w:tcPr>
            <w:tcW w:w="32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:rsidR="004F6631" w:rsidRDefault="004F6631">
            <w:pPr>
              <w:widowControl/>
              <w:overflowPunct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11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</w:tcPr>
          <w:p w:rsidR="004F6631" w:rsidRDefault="004F6631">
            <w:pPr>
              <w:widowControl/>
              <w:overflowPunct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щая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 xml:space="preserve"> с уче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том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нее при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тых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br/>
              <w:t>пус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 xml:space="preserve">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br/>
              <w:t>ком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плек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са</w:t>
            </w:r>
          </w:p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или оче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ди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щая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 xml:space="preserve"> с уче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том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нее при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тых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в том чис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br/>
              <w:t xml:space="preserve"> пус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br/>
              <w:t xml:space="preserve"> ком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плек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са</w:t>
            </w:r>
          </w:p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или оче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softHyphen/>
              <w:t>ди</w:t>
            </w:r>
          </w:p>
        </w:tc>
      </w:tr>
      <w:tr w:rsidR="004F6631" w:rsidTr="00455B8E">
        <w:tc>
          <w:tcPr>
            <w:tcW w:w="3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4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6</w:t>
            </w:r>
          </w:p>
        </w:tc>
      </w:tr>
      <w:tr w:rsidR="00361B65" w:rsidTr="00455B8E">
        <w:trPr>
          <w:trHeight w:val="280"/>
        </w:trPr>
        <w:tc>
          <w:tcPr>
            <w:tcW w:w="3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361B65" w:rsidRDefault="00361B65">
            <w:pPr>
              <w:widowControl/>
              <w:overflowPunct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ar-SA"/>
              </w:rPr>
              <w:t>счетчики однофазные прямого включения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361B65" w:rsidRDefault="00361B65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ar-SA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361B65" w:rsidRDefault="00DD2B07" w:rsidP="00CD16FB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ar-SA"/>
              </w:rPr>
              <w:t>150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361B65" w:rsidRDefault="00DD2B07" w:rsidP="00DD2B07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ar-SA"/>
              </w:rPr>
              <w:t>150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361B65" w:rsidRDefault="00361B65" w:rsidP="00455B8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ar-SA"/>
              </w:rPr>
              <w:t>159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361B65" w:rsidRDefault="00361B65" w:rsidP="00455B8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ar-SA"/>
              </w:rPr>
              <w:t>159</w:t>
            </w:r>
          </w:p>
        </w:tc>
      </w:tr>
      <w:tr w:rsidR="004F6631" w:rsidTr="00455B8E">
        <w:trPr>
          <w:trHeight w:val="280"/>
        </w:trPr>
        <w:tc>
          <w:tcPr>
            <w:tcW w:w="3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47527E">
            <w:pPr>
              <w:widowControl/>
              <w:overflowPunct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счетчики трехфазные прямого включения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Pr="00A414A2" w:rsidRDefault="00DD2B07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295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Pr="00A414A2" w:rsidRDefault="00DD2B07" w:rsidP="00DD2B07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295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361B65" w:rsidP="00130E7D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320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361B65" w:rsidP="00130E7D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320</w:t>
            </w:r>
          </w:p>
        </w:tc>
      </w:tr>
      <w:tr w:rsidR="004F6631" w:rsidTr="00455B8E">
        <w:trPr>
          <w:trHeight w:val="280"/>
        </w:trPr>
        <w:tc>
          <w:tcPr>
            <w:tcW w:w="3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47527E" w:rsidP="00455B8E">
            <w:pPr>
              <w:widowControl/>
              <w:overflowPunct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 xml:space="preserve">счетчики трехфазные </w:t>
            </w:r>
            <w:proofErr w:type="spellStart"/>
            <w:r w:rsidR="00455B8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по-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лукосвенного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 xml:space="preserve"> </w:t>
            </w:r>
            <w:r w:rsidR="00455B8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ключения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Pr="00A414A2" w:rsidRDefault="00130E7D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A414A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Pr="00A414A2" w:rsidRDefault="00130E7D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A414A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0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361B65" w:rsidP="00361B65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361B65" w:rsidP="00361B65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0</w:t>
            </w:r>
          </w:p>
        </w:tc>
      </w:tr>
      <w:tr w:rsidR="004F6631" w:rsidTr="00455B8E">
        <w:trPr>
          <w:trHeight w:val="280"/>
        </w:trPr>
        <w:tc>
          <w:tcPr>
            <w:tcW w:w="3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47527E">
            <w:pPr>
              <w:widowControl/>
              <w:overflowPunct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УСПД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47527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Pr="00A414A2" w:rsidRDefault="00E226BF" w:rsidP="00315F5F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A414A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1</w:t>
            </w:r>
            <w:r w:rsidR="00315F5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Pr="00A414A2" w:rsidRDefault="00E226BF" w:rsidP="00315F5F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A414A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1</w:t>
            </w:r>
            <w:r w:rsidR="00315F5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4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361B65" w:rsidP="00455B8E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14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74261A" w:rsidRDefault="00455B8E" w:rsidP="00361B65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1</w:t>
            </w:r>
            <w:r w:rsidR="00361B6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4</w:t>
            </w:r>
          </w:p>
        </w:tc>
      </w:tr>
      <w:tr w:rsidR="004F6631" w:rsidTr="00455B8E">
        <w:trPr>
          <w:trHeight w:val="280"/>
        </w:trPr>
        <w:tc>
          <w:tcPr>
            <w:tcW w:w="3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4F6631">
            <w:pPr>
              <w:widowControl/>
              <w:overflowPunct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ar-S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4F6631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Pr="00A414A2" w:rsidRDefault="00DB2425" w:rsidP="00315F5F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ar-SA"/>
              </w:rPr>
            </w:pPr>
            <w:r w:rsidRPr="00A414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ar-SA"/>
              </w:rPr>
              <w:t>4</w:t>
            </w:r>
            <w:r w:rsidR="00315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ar-SA"/>
              </w:rPr>
              <w:t>59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Pr="00A414A2" w:rsidRDefault="00DB2425" w:rsidP="00315F5F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ar-SA"/>
              </w:rPr>
            </w:pPr>
            <w:r w:rsidRPr="00A414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ar-SA"/>
              </w:rPr>
              <w:t>4</w:t>
            </w:r>
            <w:r w:rsidR="00315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ar-SA"/>
              </w:rPr>
              <w:t>59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455B8E" w:rsidP="00315F5F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ar-SA"/>
              </w:rPr>
              <w:t>4</w:t>
            </w:r>
            <w:r w:rsidR="00315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ar-SA"/>
              </w:rPr>
              <w:t>93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" w:type="dxa"/>
            </w:tcMar>
            <w:vAlign w:val="bottom"/>
          </w:tcPr>
          <w:p w:rsidR="004F6631" w:rsidRDefault="00455B8E" w:rsidP="00315F5F">
            <w:pPr>
              <w:widowControl/>
              <w:overflowPunct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ar-SA"/>
              </w:rPr>
              <w:t>49</w:t>
            </w:r>
            <w:r w:rsidR="00315F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ar-SA"/>
              </w:rPr>
              <w:t>3</w:t>
            </w:r>
          </w:p>
        </w:tc>
      </w:tr>
    </w:tbl>
    <w:p w:rsidR="004F6631" w:rsidRDefault="004F6631">
      <w:pPr>
        <w:pStyle w:val="ab"/>
        <w:jc w:val="both"/>
      </w:pPr>
    </w:p>
    <w:p w:rsidR="00B121F0" w:rsidRPr="00460820" w:rsidRDefault="0047527E" w:rsidP="00A414A2">
      <w:pPr>
        <w:pStyle w:val="ab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F6631" w:rsidRDefault="004F6631">
      <w:pPr>
        <w:pStyle w:val="ab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F6631" w:rsidRDefault="0047527E">
      <w:pPr>
        <w:pStyle w:val="ab"/>
        <w:jc w:val="both"/>
      </w:pPr>
      <w:r>
        <w:rPr>
          <w:rFonts w:ascii="Times New Roman" w:hAnsi="Times New Roman"/>
          <w:b/>
          <w:bCs/>
          <w:sz w:val="28"/>
          <w:szCs w:val="28"/>
        </w:rPr>
        <w:t>Снижение затрат на топливо и смазочные материалы</w:t>
      </w:r>
    </w:p>
    <w:p w:rsidR="004F6631" w:rsidRDefault="004F6631">
      <w:pPr>
        <w:pStyle w:val="ab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52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36"/>
        <w:gridCol w:w="2832"/>
        <w:gridCol w:w="3340"/>
        <w:gridCol w:w="2044"/>
      </w:tblGrid>
      <w:tr w:rsidR="004F6631" w:rsidTr="00D63DB2">
        <w:tc>
          <w:tcPr>
            <w:tcW w:w="1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47527E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28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47527E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Затраты на ГСМ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6F11BB" w:rsidP="006F11BB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4752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робег  транспорта за год,  </w:t>
            </w:r>
            <w:proofErr w:type="spellStart"/>
            <w:r w:rsidR="00D63DB2">
              <w:rPr>
                <w:rFonts w:ascii="Times New Roman" w:hAnsi="Times New Roman"/>
                <w:color w:val="000000"/>
                <w:sz w:val="28"/>
                <w:szCs w:val="28"/>
              </w:rPr>
              <w:t>тыс</w:t>
            </w:r>
            <w:proofErr w:type="gramStart"/>
            <w:r w:rsidR="00D63DB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47527E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proofErr w:type="gramEnd"/>
            <w:r w:rsidR="0047527E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spellEnd"/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6F11BB" w:rsidP="006F11BB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Затраты на 1 км, </w:t>
            </w:r>
            <w:r w:rsidR="0047527E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</w:tr>
      <w:tr w:rsidR="0043311E" w:rsidTr="00D63DB2">
        <w:tc>
          <w:tcPr>
            <w:tcW w:w="1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3311E" w:rsidRDefault="0043311E" w:rsidP="00CD16FB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28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3311E" w:rsidRDefault="0043311E" w:rsidP="00CD16FB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2896,4</w:t>
            </w:r>
          </w:p>
        </w:tc>
        <w:tc>
          <w:tcPr>
            <w:tcW w:w="3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3311E" w:rsidRDefault="0043311E" w:rsidP="00CD16FB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238,9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3311E" w:rsidRDefault="0043311E" w:rsidP="00CD16FB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12,12</w:t>
            </w:r>
          </w:p>
        </w:tc>
      </w:tr>
      <w:tr w:rsidR="004F6631" w:rsidTr="00D63DB2">
        <w:tc>
          <w:tcPr>
            <w:tcW w:w="1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E65078" w:rsidP="00455B8E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43311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6F11BB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3573,5</w:t>
            </w:r>
          </w:p>
        </w:tc>
        <w:tc>
          <w:tcPr>
            <w:tcW w:w="3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6F11BB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6F11BB" w:rsidP="00E65078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14,29</w:t>
            </w:r>
          </w:p>
        </w:tc>
      </w:tr>
      <w:tr w:rsidR="00EE082E" w:rsidTr="00D63DB2">
        <w:tc>
          <w:tcPr>
            <w:tcW w:w="1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E082E" w:rsidRDefault="00EE082E" w:rsidP="00455B8E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Отклонение</w:t>
            </w:r>
          </w:p>
        </w:tc>
        <w:tc>
          <w:tcPr>
            <w:tcW w:w="28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E082E" w:rsidRDefault="006F11BB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677,1</w:t>
            </w:r>
          </w:p>
        </w:tc>
        <w:tc>
          <w:tcPr>
            <w:tcW w:w="3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E082E" w:rsidRDefault="006F11BB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11,1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E082E" w:rsidRDefault="00EE082E" w:rsidP="006F11BB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6F11BB">
              <w:rPr>
                <w:rFonts w:ascii="Times New Roman" w:hAnsi="Times New Roman"/>
                <w:color w:val="000000"/>
                <w:sz w:val="28"/>
                <w:szCs w:val="28"/>
              </w:rPr>
              <w:t>2,17</w:t>
            </w:r>
          </w:p>
        </w:tc>
      </w:tr>
    </w:tbl>
    <w:p w:rsidR="004F6631" w:rsidRDefault="004F6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43317" w:rsidRDefault="0047527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202</w:t>
      </w:r>
      <w:r w:rsidR="0043311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произошло у</w:t>
      </w:r>
      <w:r w:rsidR="006F11BB">
        <w:rPr>
          <w:rFonts w:ascii="Times New Roman" w:hAnsi="Times New Roman"/>
          <w:sz w:val="28"/>
          <w:szCs w:val="28"/>
        </w:rPr>
        <w:t>величе</w:t>
      </w:r>
      <w:r w:rsidR="00E65078">
        <w:rPr>
          <w:rFonts w:ascii="Times New Roman" w:hAnsi="Times New Roman"/>
          <w:sz w:val="28"/>
          <w:szCs w:val="28"/>
        </w:rPr>
        <w:t xml:space="preserve">ние </w:t>
      </w:r>
      <w:r>
        <w:rPr>
          <w:rFonts w:ascii="Times New Roman" w:hAnsi="Times New Roman"/>
          <w:sz w:val="28"/>
          <w:szCs w:val="28"/>
        </w:rPr>
        <w:t xml:space="preserve"> затрат на ГСМ </w:t>
      </w:r>
      <w:r w:rsidR="008C4E1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6F11BB">
        <w:rPr>
          <w:rFonts w:ascii="Times New Roman" w:hAnsi="Times New Roman"/>
          <w:sz w:val="28"/>
          <w:szCs w:val="28"/>
        </w:rPr>
        <w:t xml:space="preserve">677,1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 w:rsidR="00EE082E">
        <w:rPr>
          <w:rFonts w:ascii="Times New Roman" w:hAnsi="Times New Roman"/>
          <w:sz w:val="28"/>
          <w:szCs w:val="28"/>
        </w:rPr>
        <w:t>.,</w:t>
      </w:r>
      <w:r w:rsidR="006F11BB">
        <w:rPr>
          <w:rFonts w:ascii="Times New Roman" w:hAnsi="Times New Roman"/>
          <w:sz w:val="28"/>
          <w:szCs w:val="28"/>
        </w:rPr>
        <w:t xml:space="preserve"> </w:t>
      </w:r>
      <w:r w:rsidR="00EE082E">
        <w:rPr>
          <w:rFonts w:ascii="Times New Roman" w:hAnsi="Times New Roman"/>
          <w:sz w:val="28"/>
          <w:szCs w:val="28"/>
        </w:rPr>
        <w:t>у</w:t>
      </w:r>
      <w:r w:rsidR="006F11BB">
        <w:rPr>
          <w:rFonts w:ascii="Times New Roman" w:hAnsi="Times New Roman"/>
          <w:sz w:val="28"/>
          <w:szCs w:val="28"/>
        </w:rPr>
        <w:t>вел</w:t>
      </w:r>
      <w:r w:rsidR="00EE082E">
        <w:rPr>
          <w:rFonts w:ascii="Times New Roman" w:hAnsi="Times New Roman"/>
          <w:sz w:val="28"/>
          <w:szCs w:val="28"/>
        </w:rPr>
        <w:t>и</w:t>
      </w:r>
      <w:r w:rsidR="006F11BB">
        <w:rPr>
          <w:rFonts w:ascii="Times New Roman" w:hAnsi="Times New Roman"/>
          <w:sz w:val="28"/>
          <w:szCs w:val="28"/>
        </w:rPr>
        <w:t>чи</w:t>
      </w:r>
      <w:r w:rsidR="00EE082E">
        <w:rPr>
          <w:rFonts w:ascii="Times New Roman" w:hAnsi="Times New Roman"/>
          <w:sz w:val="28"/>
          <w:szCs w:val="28"/>
        </w:rPr>
        <w:t xml:space="preserve">лся пробег транспорта на </w:t>
      </w:r>
      <w:r w:rsidR="006F11BB">
        <w:rPr>
          <w:rFonts w:ascii="Times New Roman" w:hAnsi="Times New Roman"/>
          <w:sz w:val="28"/>
          <w:szCs w:val="28"/>
        </w:rPr>
        <w:t>11,1</w:t>
      </w:r>
      <w:r w:rsidR="00EE082E">
        <w:rPr>
          <w:rFonts w:ascii="Times New Roman" w:hAnsi="Times New Roman"/>
          <w:sz w:val="28"/>
          <w:szCs w:val="28"/>
        </w:rPr>
        <w:t>0</w:t>
      </w:r>
      <w:r w:rsidR="00EE082E" w:rsidRPr="00EE082E">
        <w:t xml:space="preserve"> </w:t>
      </w:r>
      <w:proofErr w:type="spellStart"/>
      <w:r w:rsidR="00EE082E" w:rsidRPr="00EE082E">
        <w:rPr>
          <w:rFonts w:ascii="Times New Roman" w:hAnsi="Times New Roman"/>
          <w:sz w:val="28"/>
          <w:szCs w:val="28"/>
        </w:rPr>
        <w:t>тыс.км</w:t>
      </w:r>
      <w:proofErr w:type="spellEnd"/>
      <w:r w:rsidR="00EE08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="00EE082E">
        <w:rPr>
          <w:rFonts w:ascii="Times New Roman" w:hAnsi="Times New Roman"/>
          <w:sz w:val="28"/>
          <w:szCs w:val="28"/>
        </w:rPr>
        <w:t xml:space="preserve"> произошло  </w:t>
      </w:r>
      <w:r w:rsidR="00007A65">
        <w:rPr>
          <w:rFonts w:ascii="Times New Roman" w:hAnsi="Times New Roman"/>
          <w:sz w:val="28"/>
          <w:szCs w:val="28"/>
        </w:rPr>
        <w:t>увеличение</w:t>
      </w:r>
      <w:r w:rsidR="009628F1">
        <w:rPr>
          <w:rFonts w:ascii="Times New Roman" w:hAnsi="Times New Roman"/>
          <w:sz w:val="28"/>
          <w:szCs w:val="28"/>
        </w:rPr>
        <w:t xml:space="preserve"> затрат на 1 км пробега </w:t>
      </w:r>
      <w:r w:rsidR="006F11BB">
        <w:rPr>
          <w:rFonts w:ascii="Times New Roman" w:hAnsi="Times New Roman"/>
          <w:sz w:val="28"/>
          <w:szCs w:val="28"/>
        </w:rPr>
        <w:t xml:space="preserve">транспорта </w:t>
      </w:r>
      <w:r w:rsidR="00EE082E">
        <w:rPr>
          <w:rFonts w:ascii="Times New Roman" w:hAnsi="Times New Roman"/>
          <w:sz w:val="28"/>
          <w:szCs w:val="28"/>
        </w:rPr>
        <w:t xml:space="preserve"> на </w:t>
      </w:r>
      <w:r w:rsidR="006F11BB">
        <w:rPr>
          <w:rFonts w:ascii="Times New Roman" w:hAnsi="Times New Roman"/>
          <w:sz w:val="28"/>
          <w:szCs w:val="28"/>
        </w:rPr>
        <w:t>2,</w:t>
      </w:r>
      <w:r w:rsidR="00EE082E">
        <w:rPr>
          <w:rFonts w:ascii="Times New Roman" w:hAnsi="Times New Roman"/>
          <w:sz w:val="28"/>
          <w:szCs w:val="28"/>
        </w:rPr>
        <w:t>1</w:t>
      </w:r>
      <w:r w:rsidR="006F11BB">
        <w:rPr>
          <w:rFonts w:ascii="Times New Roman" w:hAnsi="Times New Roman"/>
          <w:sz w:val="28"/>
          <w:szCs w:val="28"/>
        </w:rPr>
        <w:t>7</w:t>
      </w:r>
      <w:r w:rsidR="00EE08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082E" w:rsidRPr="00EE082E">
        <w:rPr>
          <w:rFonts w:ascii="Times New Roman" w:hAnsi="Times New Roman"/>
          <w:sz w:val="28"/>
          <w:szCs w:val="28"/>
        </w:rPr>
        <w:t>тыс.руб</w:t>
      </w:r>
      <w:proofErr w:type="spellEnd"/>
      <w:r w:rsidR="00EE082E">
        <w:rPr>
          <w:rFonts w:ascii="Times New Roman" w:hAnsi="Times New Roman"/>
          <w:sz w:val="28"/>
          <w:szCs w:val="28"/>
        </w:rPr>
        <w:t xml:space="preserve"> в связи с удорожанием стоимости  дизтоплива и бензина.</w:t>
      </w:r>
    </w:p>
    <w:p w:rsidR="00B43317" w:rsidRDefault="00B43317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43317" w:rsidRDefault="00B43317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9628F1" w:rsidRDefault="009628F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43311E" w:rsidRDefault="0043311E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A414A2" w:rsidRDefault="00A414A2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4F6631" w:rsidRDefault="0047527E">
      <w:pPr>
        <w:pStyle w:val="ab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Снижение потерь электроэнергии  при ее транспортировке </w:t>
      </w:r>
    </w:p>
    <w:p w:rsidR="004F6631" w:rsidRDefault="004F6631">
      <w:pPr>
        <w:pStyle w:val="ab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F6631" w:rsidRDefault="0047527E">
      <w:pPr>
        <w:pStyle w:val="ab"/>
        <w:jc w:val="both"/>
      </w:pPr>
      <w:r>
        <w:rPr>
          <w:rFonts w:ascii="Times New Roman" w:hAnsi="Times New Roman"/>
          <w:sz w:val="28"/>
          <w:szCs w:val="28"/>
        </w:rPr>
        <w:tab/>
        <w:t>Основной задачей для сетевой организации является сокращение расхода электроэнергии  на ее транспортировку  — снижение потерь электроэнергии.</w:t>
      </w:r>
    </w:p>
    <w:p w:rsidR="004F6631" w:rsidRDefault="004F6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tbl>
      <w:tblPr>
        <w:tblW w:w="9752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0"/>
        <w:gridCol w:w="1950"/>
        <w:gridCol w:w="2627"/>
        <w:gridCol w:w="1691"/>
        <w:gridCol w:w="1534"/>
      </w:tblGrid>
      <w:tr w:rsidR="004F6631"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47527E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47527E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Получение э/э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тыс.кВт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*ч</w:t>
            </w:r>
          </w:p>
        </w:tc>
        <w:tc>
          <w:tcPr>
            <w:tcW w:w="26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47527E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Полезный отпуск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тыс.кВт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*ч</w:t>
            </w:r>
          </w:p>
        </w:tc>
        <w:tc>
          <w:tcPr>
            <w:tcW w:w="16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47527E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Потери,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*ч</w:t>
            </w:r>
          </w:p>
        </w:tc>
        <w:tc>
          <w:tcPr>
            <w:tcW w:w="15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47527E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Потери,%</w:t>
            </w:r>
          </w:p>
        </w:tc>
      </w:tr>
      <w:tr w:rsidR="006D3161"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D3161" w:rsidRDefault="006D3161" w:rsidP="009128EE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D3161" w:rsidRDefault="006D3161" w:rsidP="00CD16F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110160,5</w:t>
            </w:r>
          </w:p>
        </w:tc>
        <w:tc>
          <w:tcPr>
            <w:tcW w:w="26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D3161" w:rsidRDefault="006D3161" w:rsidP="00CD16F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96345,2</w:t>
            </w:r>
          </w:p>
        </w:tc>
        <w:tc>
          <w:tcPr>
            <w:tcW w:w="16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D3161" w:rsidRDefault="006D3161" w:rsidP="00CD16F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13815,3</w:t>
            </w:r>
          </w:p>
        </w:tc>
        <w:tc>
          <w:tcPr>
            <w:tcW w:w="15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6D3161" w:rsidRDefault="006D3161" w:rsidP="00CD16F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</w:tr>
      <w:tr w:rsidR="004D288C"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D288C" w:rsidRDefault="006D3161" w:rsidP="008773D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  <w:p w:rsidR="006D3161" w:rsidRDefault="006D3161" w:rsidP="008773D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D288C" w:rsidRDefault="006D3161" w:rsidP="008773D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113075,4</w:t>
            </w:r>
          </w:p>
        </w:tc>
        <w:tc>
          <w:tcPr>
            <w:tcW w:w="26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D288C" w:rsidRDefault="006D3161" w:rsidP="008773D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99693,3</w:t>
            </w:r>
          </w:p>
        </w:tc>
        <w:tc>
          <w:tcPr>
            <w:tcW w:w="16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D288C" w:rsidRDefault="006D316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13382,1</w:t>
            </w:r>
          </w:p>
        </w:tc>
        <w:tc>
          <w:tcPr>
            <w:tcW w:w="15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D288C" w:rsidRDefault="006D3161" w:rsidP="008773D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11,8</w:t>
            </w:r>
          </w:p>
          <w:p w:rsidR="006D3161" w:rsidRDefault="006D3161" w:rsidP="008773D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288C"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D288C" w:rsidRDefault="004D288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Отклонение в указанных единицах</w:t>
            </w:r>
          </w:p>
        </w:tc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D288C" w:rsidRDefault="006D3161" w:rsidP="004D288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2914,9</w:t>
            </w:r>
          </w:p>
        </w:tc>
        <w:tc>
          <w:tcPr>
            <w:tcW w:w="26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D288C" w:rsidRDefault="006D316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3348,1</w:t>
            </w:r>
          </w:p>
        </w:tc>
        <w:tc>
          <w:tcPr>
            <w:tcW w:w="16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D288C" w:rsidRDefault="006D3161" w:rsidP="004D288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-433,2</w:t>
            </w:r>
          </w:p>
        </w:tc>
        <w:tc>
          <w:tcPr>
            <w:tcW w:w="15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D288C" w:rsidRDefault="004D288C" w:rsidP="006D316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6D3161"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</w:tr>
    </w:tbl>
    <w:p w:rsidR="004F6631" w:rsidRDefault="004F6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4F6631" w:rsidRDefault="0047527E">
      <w:pPr>
        <w:pStyle w:val="ab"/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highlight w:val="white"/>
        </w:rPr>
        <w:t xml:space="preserve">В результате внедрения системы АСКУЭ  у  части потребителей </w:t>
      </w:r>
      <w:r w:rsidR="00B009AA" w:rsidRPr="00B009AA">
        <w:rPr>
          <w:rFonts w:ascii="Times New Roman" w:hAnsi="Times New Roman"/>
          <w:sz w:val="28"/>
          <w:szCs w:val="28"/>
          <w:highlight w:val="white"/>
        </w:rPr>
        <w:t>(</w:t>
      </w:r>
      <w:r w:rsidR="00814C9B">
        <w:rPr>
          <w:rFonts w:ascii="Times New Roman" w:hAnsi="Times New Roman"/>
          <w:sz w:val="28"/>
          <w:szCs w:val="28"/>
          <w:highlight w:val="white"/>
        </w:rPr>
        <w:t>40</w:t>
      </w:r>
      <w:r>
        <w:rPr>
          <w:rFonts w:ascii="Times New Roman" w:hAnsi="Times New Roman"/>
          <w:sz w:val="28"/>
          <w:szCs w:val="28"/>
          <w:highlight w:val="white"/>
        </w:rPr>
        <w:t xml:space="preserve">% от общего количества потребителей бытового сектора), установки расчетных приборов учета   на границе  балансовой принадлежности, исключающая недоучет потребленной электроэнергии, потери электроэнергии снизились на </w:t>
      </w:r>
      <w:r w:rsidR="00814C9B">
        <w:rPr>
          <w:rFonts w:ascii="Times New Roman" w:hAnsi="Times New Roman"/>
          <w:sz w:val="28"/>
          <w:szCs w:val="28"/>
          <w:highlight w:val="white"/>
        </w:rPr>
        <w:t>0,7</w:t>
      </w:r>
      <w:r w:rsidR="00A94222">
        <w:rPr>
          <w:rFonts w:ascii="Times New Roman" w:hAnsi="Times New Roman"/>
          <w:sz w:val="28"/>
          <w:szCs w:val="28"/>
          <w:highlight w:val="white"/>
        </w:rPr>
        <w:t>%</w:t>
      </w:r>
      <w:r w:rsidR="008773D6">
        <w:rPr>
          <w:rFonts w:ascii="Times New Roman" w:hAnsi="Times New Roman"/>
          <w:sz w:val="28"/>
          <w:szCs w:val="28"/>
          <w:highlight w:val="white"/>
        </w:rPr>
        <w:t xml:space="preserve">  </w:t>
      </w:r>
      <w:r w:rsidR="004D288C">
        <w:rPr>
          <w:rFonts w:ascii="Times New Roman" w:hAnsi="Times New Roman"/>
          <w:sz w:val="28"/>
          <w:szCs w:val="28"/>
          <w:highlight w:val="white"/>
        </w:rPr>
        <w:t>4</w:t>
      </w:r>
      <w:r w:rsidR="00814C9B">
        <w:rPr>
          <w:rFonts w:ascii="Times New Roman" w:hAnsi="Times New Roman"/>
          <w:sz w:val="28"/>
          <w:szCs w:val="28"/>
          <w:highlight w:val="white"/>
        </w:rPr>
        <w:t>33</w:t>
      </w:r>
      <w:r w:rsidR="004D288C">
        <w:rPr>
          <w:rFonts w:ascii="Times New Roman" w:hAnsi="Times New Roman"/>
          <w:sz w:val="28"/>
          <w:szCs w:val="28"/>
          <w:highlight w:val="white"/>
        </w:rPr>
        <w:t>,</w:t>
      </w:r>
      <w:r w:rsidR="00814C9B">
        <w:rPr>
          <w:rFonts w:ascii="Times New Roman" w:hAnsi="Times New Roman"/>
          <w:sz w:val="28"/>
          <w:szCs w:val="28"/>
          <w:highlight w:val="white"/>
        </w:rPr>
        <w:t>2</w:t>
      </w:r>
      <w:r w:rsidR="008773D6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="009628F1" w:rsidRPr="009628F1">
        <w:rPr>
          <w:rFonts w:ascii="Times New Roman" w:hAnsi="Times New Roman"/>
          <w:sz w:val="28"/>
          <w:szCs w:val="28"/>
        </w:rPr>
        <w:t>тыс</w:t>
      </w:r>
      <w:proofErr w:type="gramStart"/>
      <w:r w:rsidR="009628F1" w:rsidRPr="009628F1">
        <w:rPr>
          <w:rFonts w:ascii="Times New Roman" w:hAnsi="Times New Roman"/>
          <w:sz w:val="28"/>
          <w:szCs w:val="28"/>
        </w:rPr>
        <w:t>.к</w:t>
      </w:r>
      <w:proofErr w:type="gramEnd"/>
      <w:r w:rsidR="009628F1" w:rsidRPr="009628F1">
        <w:rPr>
          <w:rFonts w:ascii="Times New Roman" w:hAnsi="Times New Roman"/>
          <w:sz w:val="28"/>
          <w:szCs w:val="28"/>
        </w:rPr>
        <w:t>Вт</w:t>
      </w:r>
      <w:proofErr w:type="spellEnd"/>
      <w:r w:rsidR="009628F1" w:rsidRPr="009628F1">
        <w:rPr>
          <w:rFonts w:ascii="Times New Roman" w:hAnsi="Times New Roman"/>
          <w:sz w:val="28"/>
          <w:szCs w:val="28"/>
        </w:rPr>
        <w:t>*ч</w:t>
      </w:r>
      <w:r w:rsidR="00A94222">
        <w:rPr>
          <w:rFonts w:ascii="Times New Roman" w:hAnsi="Times New Roman"/>
          <w:sz w:val="28"/>
          <w:szCs w:val="28"/>
          <w:highlight w:val="white"/>
        </w:rPr>
        <w:t>,</w:t>
      </w:r>
      <w:r w:rsidR="004516C6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A94222">
        <w:rPr>
          <w:rFonts w:ascii="Times New Roman" w:hAnsi="Times New Roman"/>
          <w:sz w:val="28"/>
          <w:szCs w:val="28"/>
          <w:highlight w:val="white"/>
        </w:rPr>
        <w:t>получение электрической энергии в сети АО «УЭС» у</w:t>
      </w:r>
      <w:r w:rsidR="00814C9B">
        <w:rPr>
          <w:rFonts w:ascii="Times New Roman" w:hAnsi="Times New Roman"/>
          <w:sz w:val="28"/>
          <w:szCs w:val="28"/>
          <w:highlight w:val="white"/>
        </w:rPr>
        <w:t>велич</w:t>
      </w:r>
      <w:r w:rsidR="008773D6">
        <w:rPr>
          <w:rFonts w:ascii="Times New Roman" w:hAnsi="Times New Roman"/>
          <w:sz w:val="28"/>
          <w:szCs w:val="28"/>
          <w:highlight w:val="white"/>
        </w:rPr>
        <w:t>илось</w:t>
      </w:r>
      <w:r w:rsidR="00A94222">
        <w:rPr>
          <w:rFonts w:ascii="Times New Roman" w:hAnsi="Times New Roman"/>
          <w:sz w:val="28"/>
          <w:szCs w:val="28"/>
          <w:highlight w:val="white"/>
        </w:rPr>
        <w:t xml:space="preserve"> на </w:t>
      </w:r>
      <w:r w:rsidR="00814C9B">
        <w:rPr>
          <w:rFonts w:ascii="Times New Roman" w:hAnsi="Times New Roman"/>
          <w:sz w:val="28"/>
          <w:szCs w:val="28"/>
          <w:highlight w:val="white"/>
        </w:rPr>
        <w:t>2914,9</w:t>
      </w:r>
      <w:r w:rsidR="009628F1" w:rsidRPr="009628F1">
        <w:rPr>
          <w:rFonts w:ascii="Times New Roman" w:hAnsi="Times New Roman"/>
          <w:sz w:val="28"/>
          <w:szCs w:val="28"/>
        </w:rPr>
        <w:t>тыс.кВт*ч</w:t>
      </w:r>
      <w:r w:rsidR="00A94222">
        <w:rPr>
          <w:rFonts w:ascii="Times New Roman" w:hAnsi="Times New Roman"/>
          <w:sz w:val="28"/>
          <w:szCs w:val="28"/>
          <w:highlight w:val="white"/>
        </w:rPr>
        <w:t>,</w:t>
      </w:r>
      <w:r w:rsidR="004516C6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A94222">
        <w:rPr>
          <w:rFonts w:ascii="Times New Roman" w:hAnsi="Times New Roman"/>
          <w:sz w:val="28"/>
          <w:szCs w:val="28"/>
          <w:highlight w:val="white"/>
        </w:rPr>
        <w:t>полезный отпуск</w:t>
      </w:r>
      <w:r w:rsidR="00B121F0">
        <w:rPr>
          <w:rFonts w:ascii="Times New Roman" w:hAnsi="Times New Roman"/>
          <w:sz w:val="28"/>
          <w:szCs w:val="28"/>
          <w:highlight w:val="white"/>
        </w:rPr>
        <w:t xml:space="preserve"> электрической </w:t>
      </w:r>
      <w:r w:rsidR="00A94222">
        <w:rPr>
          <w:rFonts w:ascii="Times New Roman" w:hAnsi="Times New Roman"/>
          <w:sz w:val="28"/>
          <w:szCs w:val="28"/>
          <w:highlight w:val="white"/>
        </w:rPr>
        <w:t xml:space="preserve"> у</w:t>
      </w:r>
      <w:r w:rsidR="00814C9B">
        <w:rPr>
          <w:rFonts w:ascii="Times New Roman" w:hAnsi="Times New Roman"/>
          <w:sz w:val="28"/>
          <w:szCs w:val="28"/>
          <w:highlight w:val="white"/>
        </w:rPr>
        <w:t>велич</w:t>
      </w:r>
      <w:r w:rsidR="004D288C">
        <w:rPr>
          <w:rFonts w:ascii="Times New Roman" w:hAnsi="Times New Roman"/>
          <w:sz w:val="28"/>
          <w:szCs w:val="28"/>
          <w:highlight w:val="white"/>
        </w:rPr>
        <w:t xml:space="preserve">ился </w:t>
      </w:r>
      <w:r w:rsidR="00A94222">
        <w:rPr>
          <w:rFonts w:ascii="Times New Roman" w:hAnsi="Times New Roman"/>
          <w:sz w:val="28"/>
          <w:szCs w:val="28"/>
          <w:highlight w:val="white"/>
        </w:rPr>
        <w:t xml:space="preserve">на </w:t>
      </w:r>
      <w:r w:rsidR="00814C9B">
        <w:rPr>
          <w:rFonts w:ascii="Times New Roman" w:hAnsi="Times New Roman"/>
          <w:sz w:val="28"/>
          <w:szCs w:val="28"/>
          <w:highlight w:val="white"/>
        </w:rPr>
        <w:t>3348,1</w:t>
      </w:r>
      <w:r w:rsidR="008773D6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A94222"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 w:rsidR="009628F1" w:rsidRPr="009628F1">
        <w:rPr>
          <w:rFonts w:ascii="Times New Roman" w:hAnsi="Times New Roman"/>
          <w:sz w:val="28"/>
          <w:szCs w:val="28"/>
        </w:rPr>
        <w:t>тыс.кВт</w:t>
      </w:r>
      <w:proofErr w:type="spellEnd"/>
      <w:r w:rsidR="009628F1" w:rsidRPr="009628F1">
        <w:rPr>
          <w:rFonts w:ascii="Times New Roman" w:hAnsi="Times New Roman"/>
          <w:sz w:val="28"/>
          <w:szCs w:val="28"/>
        </w:rPr>
        <w:t>*ч</w:t>
      </w:r>
      <w:r w:rsidR="00B121F0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A94222">
        <w:rPr>
          <w:rFonts w:ascii="Times New Roman" w:hAnsi="Times New Roman"/>
          <w:sz w:val="28"/>
          <w:szCs w:val="28"/>
          <w:highlight w:val="white"/>
        </w:rPr>
        <w:t>.</w:t>
      </w:r>
    </w:p>
    <w:p w:rsidR="008773D6" w:rsidRDefault="008773D6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4F6631" w:rsidRPr="00A414A2" w:rsidRDefault="0047527E">
      <w:pPr>
        <w:pStyle w:val="ab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Затраты на тепловую  и электрическую энергии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(собственные нужды)</w:t>
      </w:r>
    </w:p>
    <w:p w:rsidR="0062416E" w:rsidRPr="0062416E" w:rsidRDefault="0062416E">
      <w:pPr>
        <w:pStyle w:val="ab"/>
        <w:jc w:val="both"/>
      </w:pPr>
    </w:p>
    <w:p w:rsidR="006C0B87" w:rsidRPr="00B009AA" w:rsidRDefault="00D92E34">
      <w:pPr>
        <w:pStyle w:val="ab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Тепловая </w:t>
      </w:r>
      <w:r w:rsidR="00B009AA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="00B009AA">
        <w:rPr>
          <w:rFonts w:ascii="Times New Roman" w:hAnsi="Times New Roman"/>
          <w:b/>
          <w:bCs/>
          <w:sz w:val="28"/>
          <w:szCs w:val="28"/>
        </w:rPr>
        <w:t>энергия</w:t>
      </w:r>
    </w:p>
    <w:tbl>
      <w:tblPr>
        <w:tblW w:w="9762" w:type="dxa"/>
        <w:tblInd w:w="2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45"/>
        <w:gridCol w:w="2551"/>
        <w:gridCol w:w="2566"/>
      </w:tblGrid>
      <w:tr w:rsidR="004F6631">
        <w:tc>
          <w:tcPr>
            <w:tcW w:w="4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47527E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47527E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Расход, Гкал</w:t>
            </w:r>
          </w:p>
        </w:tc>
        <w:tc>
          <w:tcPr>
            <w:tcW w:w="2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47527E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14C9B">
        <w:tc>
          <w:tcPr>
            <w:tcW w:w="4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814C9B" w:rsidRDefault="00814C9B" w:rsidP="00CD16F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814C9B" w:rsidRDefault="00814C9B" w:rsidP="00CD16FB">
            <w:pPr>
              <w:pStyle w:val="ac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2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814C9B" w:rsidRDefault="00814C9B" w:rsidP="00CD16FB">
            <w:pPr>
              <w:pStyle w:val="ac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542,5</w:t>
            </w:r>
          </w:p>
        </w:tc>
      </w:tr>
      <w:tr w:rsidR="00FC62A1">
        <w:tc>
          <w:tcPr>
            <w:tcW w:w="4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C62A1" w:rsidRDefault="00814C9B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C62A1" w:rsidRDefault="00FC62A1" w:rsidP="000243BE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243BE">
              <w:rPr>
                <w:rFonts w:ascii="Times New Roman" w:hAnsi="Times New Roman"/>
                <w:sz w:val="28"/>
                <w:szCs w:val="28"/>
              </w:rPr>
              <w:t>42,9</w:t>
            </w:r>
          </w:p>
          <w:p w:rsidR="00361B65" w:rsidRDefault="00361B65" w:rsidP="000243BE">
            <w:pPr>
              <w:pStyle w:val="ac"/>
              <w:jc w:val="center"/>
            </w:pPr>
          </w:p>
        </w:tc>
        <w:tc>
          <w:tcPr>
            <w:tcW w:w="2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C62A1" w:rsidRDefault="0043311E" w:rsidP="00B009AA">
            <w:pPr>
              <w:pStyle w:val="ac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777,2</w:t>
            </w:r>
          </w:p>
        </w:tc>
      </w:tr>
      <w:tr w:rsidR="00FC62A1">
        <w:tc>
          <w:tcPr>
            <w:tcW w:w="4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C62A1" w:rsidRDefault="00FC62A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Отклонение в указанных единицах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C62A1" w:rsidRDefault="0043311E" w:rsidP="00B009AA">
            <w:pPr>
              <w:pStyle w:val="ac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41,9</w:t>
            </w:r>
          </w:p>
        </w:tc>
        <w:tc>
          <w:tcPr>
            <w:tcW w:w="2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C62A1" w:rsidRDefault="0043311E" w:rsidP="00B009AA">
            <w:pPr>
              <w:pStyle w:val="ac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234,7</w:t>
            </w:r>
          </w:p>
        </w:tc>
      </w:tr>
    </w:tbl>
    <w:p w:rsidR="004F6631" w:rsidRDefault="004F6631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F6631" w:rsidRDefault="0047527E">
      <w:pPr>
        <w:pStyle w:val="a6"/>
        <w:spacing w:after="26"/>
        <w:jc w:val="both"/>
      </w:pPr>
      <w:r>
        <w:rPr>
          <w:rFonts w:ascii="Times New Roman" w:hAnsi="Times New Roman"/>
          <w:color w:val="22272F"/>
          <w:sz w:val="28"/>
          <w:szCs w:val="28"/>
        </w:rPr>
        <w:t xml:space="preserve"> </w:t>
      </w:r>
      <w:r w:rsidR="00B009AA">
        <w:rPr>
          <w:rFonts w:ascii="Times New Roman" w:hAnsi="Times New Roman"/>
          <w:color w:val="22272F"/>
          <w:sz w:val="28"/>
          <w:szCs w:val="28"/>
        </w:rPr>
        <w:t>Электроэнергия</w:t>
      </w:r>
    </w:p>
    <w:tbl>
      <w:tblPr>
        <w:tblW w:w="9752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45"/>
        <w:gridCol w:w="2494"/>
        <w:gridCol w:w="2613"/>
      </w:tblGrid>
      <w:tr w:rsidR="004F6631">
        <w:tc>
          <w:tcPr>
            <w:tcW w:w="4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47527E">
            <w:pPr>
              <w:pStyle w:val="ac"/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4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47527E">
            <w:pPr>
              <w:pStyle w:val="ac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*ч</w:t>
            </w:r>
          </w:p>
        </w:tc>
        <w:tc>
          <w:tcPr>
            <w:tcW w:w="26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F6631" w:rsidRDefault="0047527E">
            <w:pPr>
              <w:pStyle w:val="ac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3311E">
        <w:tc>
          <w:tcPr>
            <w:tcW w:w="4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3311E" w:rsidRDefault="0043311E" w:rsidP="00CD16FB">
            <w:pPr>
              <w:pStyle w:val="ac"/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24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3311E" w:rsidRDefault="0043311E" w:rsidP="00CD16FB">
            <w:pPr>
              <w:pStyle w:val="ac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85,2</w:t>
            </w:r>
          </w:p>
        </w:tc>
        <w:tc>
          <w:tcPr>
            <w:tcW w:w="26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43311E" w:rsidRDefault="0043311E" w:rsidP="00CD16FB">
            <w:pPr>
              <w:pStyle w:val="ac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532,6</w:t>
            </w:r>
          </w:p>
        </w:tc>
      </w:tr>
      <w:tr w:rsidR="00FC62A1">
        <w:tc>
          <w:tcPr>
            <w:tcW w:w="4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C62A1" w:rsidRDefault="0043311E" w:rsidP="00DE182C">
            <w:pPr>
              <w:pStyle w:val="ac"/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24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C62A1" w:rsidRDefault="00922A13" w:rsidP="0043311E">
            <w:pPr>
              <w:pStyle w:val="ac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43311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26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C62A1" w:rsidRDefault="0043311E" w:rsidP="00B009AA">
            <w:pPr>
              <w:pStyle w:val="ac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649,2</w:t>
            </w:r>
          </w:p>
        </w:tc>
      </w:tr>
      <w:tr w:rsidR="00FC62A1">
        <w:tc>
          <w:tcPr>
            <w:tcW w:w="4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C62A1" w:rsidRDefault="00FC62A1">
            <w:pPr>
              <w:pStyle w:val="ac"/>
            </w:pPr>
            <w:r>
              <w:rPr>
                <w:rFonts w:ascii="Times New Roman" w:hAnsi="Times New Roman"/>
                <w:sz w:val="28"/>
                <w:szCs w:val="28"/>
              </w:rPr>
              <w:t>Отклонение в указанных единицах</w:t>
            </w:r>
          </w:p>
        </w:tc>
        <w:tc>
          <w:tcPr>
            <w:tcW w:w="24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C62A1" w:rsidRDefault="00FC62A1" w:rsidP="0043311E">
            <w:pPr>
              <w:pStyle w:val="ac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922A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C62A1" w:rsidRDefault="0043311E" w:rsidP="00B009AA">
            <w:pPr>
              <w:pStyle w:val="ac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116,6</w:t>
            </w:r>
          </w:p>
        </w:tc>
      </w:tr>
    </w:tbl>
    <w:p w:rsidR="004F6631" w:rsidRDefault="004F6631">
      <w:pPr>
        <w:pStyle w:val="a6"/>
        <w:spacing w:after="26"/>
        <w:jc w:val="both"/>
        <w:rPr>
          <w:rFonts w:ascii="Times New Roman" w:hAnsi="Times New Roman"/>
          <w:color w:val="22272F"/>
          <w:sz w:val="28"/>
          <w:szCs w:val="28"/>
        </w:rPr>
      </w:pPr>
    </w:p>
    <w:p w:rsidR="002F190C" w:rsidRDefault="0047527E">
      <w:pPr>
        <w:pStyle w:val="a6"/>
        <w:spacing w:after="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4F031B">
        <w:rPr>
          <w:rFonts w:ascii="Times New Roman" w:hAnsi="Times New Roman"/>
          <w:color w:val="000000"/>
          <w:sz w:val="28"/>
          <w:szCs w:val="28"/>
        </w:rPr>
        <w:t>Произошло у</w:t>
      </w:r>
      <w:r w:rsidR="0043311E">
        <w:rPr>
          <w:rFonts w:ascii="Times New Roman" w:hAnsi="Times New Roman"/>
          <w:color w:val="000000"/>
          <w:sz w:val="28"/>
          <w:szCs w:val="28"/>
        </w:rPr>
        <w:t>величе</w:t>
      </w:r>
      <w:r w:rsidR="004F031B">
        <w:rPr>
          <w:rFonts w:ascii="Times New Roman" w:hAnsi="Times New Roman"/>
          <w:color w:val="000000"/>
          <w:sz w:val="28"/>
          <w:szCs w:val="28"/>
        </w:rPr>
        <w:t xml:space="preserve">ние расходов </w:t>
      </w:r>
      <w:r>
        <w:rPr>
          <w:rFonts w:ascii="Times New Roman" w:hAnsi="Times New Roman"/>
          <w:color w:val="000000"/>
          <w:sz w:val="28"/>
          <w:szCs w:val="28"/>
        </w:rPr>
        <w:t xml:space="preserve"> потребления  тепловой энергии </w:t>
      </w:r>
      <w:r w:rsidR="004F031B" w:rsidRPr="004F031B">
        <w:rPr>
          <w:rFonts w:ascii="Times New Roman" w:hAnsi="Times New Roman"/>
          <w:color w:val="000000"/>
          <w:sz w:val="28"/>
          <w:szCs w:val="28"/>
        </w:rPr>
        <w:t>в 202</w:t>
      </w:r>
      <w:r w:rsidR="0043311E">
        <w:rPr>
          <w:rFonts w:ascii="Times New Roman" w:hAnsi="Times New Roman"/>
          <w:color w:val="000000"/>
          <w:sz w:val="28"/>
          <w:szCs w:val="28"/>
        </w:rPr>
        <w:t>4</w:t>
      </w:r>
      <w:r w:rsidR="004F031B" w:rsidRPr="004F031B">
        <w:rPr>
          <w:rFonts w:ascii="Times New Roman" w:hAnsi="Times New Roman"/>
          <w:color w:val="000000"/>
          <w:sz w:val="28"/>
          <w:szCs w:val="28"/>
        </w:rPr>
        <w:t xml:space="preserve"> году </w:t>
      </w: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43311E">
        <w:rPr>
          <w:rFonts w:ascii="Times New Roman" w:hAnsi="Times New Roman"/>
          <w:color w:val="000000"/>
          <w:sz w:val="28"/>
          <w:szCs w:val="28"/>
        </w:rPr>
        <w:t>41,9</w:t>
      </w:r>
      <w:r w:rsidR="0046082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Гкал</w:t>
      </w:r>
      <w:r w:rsidR="00183912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F6631" w:rsidRDefault="00183912">
      <w:pPr>
        <w:pStyle w:val="a6"/>
        <w:spacing w:after="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Расход</w:t>
      </w:r>
      <w:r w:rsidR="0047527E">
        <w:rPr>
          <w:rFonts w:ascii="Times New Roman" w:hAnsi="Times New Roman"/>
          <w:color w:val="000000"/>
          <w:sz w:val="28"/>
          <w:szCs w:val="28"/>
        </w:rPr>
        <w:t xml:space="preserve"> электрической энергии </w:t>
      </w:r>
      <w:r w:rsidR="002F190C">
        <w:rPr>
          <w:rFonts w:ascii="Times New Roman" w:hAnsi="Times New Roman"/>
          <w:color w:val="000000"/>
          <w:sz w:val="28"/>
          <w:szCs w:val="28"/>
        </w:rPr>
        <w:t xml:space="preserve">уменьшился на </w:t>
      </w:r>
      <w:r w:rsidR="00460820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2F190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Втч</w:t>
      </w:r>
      <w:proofErr w:type="spellEnd"/>
      <w:r w:rsidR="001B10E8">
        <w:rPr>
          <w:rFonts w:ascii="Times New Roman" w:hAnsi="Times New Roman"/>
          <w:color w:val="000000"/>
          <w:sz w:val="28"/>
          <w:szCs w:val="28"/>
        </w:rPr>
        <w:t>.</w:t>
      </w:r>
    </w:p>
    <w:p w:rsidR="002F190C" w:rsidRDefault="002F190C">
      <w:pPr>
        <w:pStyle w:val="a6"/>
        <w:spacing w:after="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190C" w:rsidRDefault="002F190C">
      <w:pPr>
        <w:pStyle w:val="a6"/>
        <w:spacing w:after="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83912" w:rsidRDefault="00183912">
      <w:pPr>
        <w:pStyle w:val="a6"/>
        <w:spacing w:after="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6631" w:rsidRDefault="009A27E1">
      <w:pPr>
        <w:pStyle w:val="a6"/>
        <w:spacing w:after="26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Ведущий инженер </w:t>
      </w:r>
      <w:r w:rsidR="004F031B">
        <w:rPr>
          <w:rFonts w:ascii="Times New Roman" w:hAnsi="Times New Roman"/>
          <w:color w:val="000000"/>
          <w:sz w:val="28"/>
          <w:szCs w:val="28"/>
        </w:rPr>
        <w:t>ПТО</w:t>
      </w:r>
      <w:r w:rsidR="0047527E">
        <w:rPr>
          <w:rFonts w:ascii="Times New Roman" w:hAnsi="Times New Roman"/>
          <w:color w:val="000000"/>
          <w:sz w:val="28"/>
          <w:szCs w:val="28"/>
        </w:rPr>
        <w:t xml:space="preserve">                                     </w:t>
      </w:r>
      <w:r w:rsidR="004F031B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  <w:r w:rsidR="0047527E">
        <w:rPr>
          <w:rFonts w:ascii="Times New Roman" w:hAnsi="Times New Roman"/>
          <w:color w:val="000000"/>
          <w:sz w:val="28"/>
          <w:szCs w:val="28"/>
        </w:rPr>
        <w:t xml:space="preserve">     </w:t>
      </w:r>
      <w:proofErr w:type="spellStart"/>
      <w:r w:rsidR="0047527E">
        <w:rPr>
          <w:rFonts w:ascii="Times New Roman" w:hAnsi="Times New Roman"/>
          <w:color w:val="000000"/>
          <w:sz w:val="28"/>
          <w:szCs w:val="28"/>
        </w:rPr>
        <w:t>Р.М.Нафикова</w:t>
      </w:r>
      <w:proofErr w:type="spellEnd"/>
      <w:r w:rsidR="0047527E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</w:t>
      </w:r>
      <w:r w:rsidR="0047527E">
        <w:rPr>
          <w:rFonts w:ascii="Times New Roman" w:hAnsi="Times New Roman"/>
          <w:color w:val="22272F"/>
          <w:sz w:val="28"/>
          <w:szCs w:val="28"/>
        </w:rPr>
        <w:t xml:space="preserve">                                                                                                      </w:t>
      </w:r>
      <w:r w:rsidR="0047527E">
        <w:rPr>
          <w:rFonts w:ascii="Times New Roman" w:hAnsi="Times New Roman"/>
          <w:color w:val="22272F"/>
        </w:rPr>
        <w:t xml:space="preserve">                                                                                                              </w:t>
      </w:r>
    </w:p>
    <w:sectPr w:rsidR="004F6631" w:rsidSect="004516C6">
      <w:pgSz w:w="11906" w:h="16838"/>
      <w:pgMar w:top="567" w:right="737" w:bottom="851" w:left="1417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4F6631"/>
    <w:rsid w:val="00002E85"/>
    <w:rsid w:val="00007A65"/>
    <w:rsid w:val="000243BE"/>
    <w:rsid w:val="00130E7D"/>
    <w:rsid w:val="00141AEB"/>
    <w:rsid w:val="00183912"/>
    <w:rsid w:val="001B10E8"/>
    <w:rsid w:val="00254685"/>
    <w:rsid w:val="002757E2"/>
    <w:rsid w:val="002F190C"/>
    <w:rsid w:val="00315F5F"/>
    <w:rsid w:val="00361B65"/>
    <w:rsid w:val="0043311E"/>
    <w:rsid w:val="00446F8F"/>
    <w:rsid w:val="004516C6"/>
    <w:rsid w:val="00455B8E"/>
    <w:rsid w:val="00460820"/>
    <w:rsid w:val="00464388"/>
    <w:rsid w:val="0047527E"/>
    <w:rsid w:val="004D288C"/>
    <w:rsid w:val="004F031B"/>
    <w:rsid w:val="004F6631"/>
    <w:rsid w:val="005B23C0"/>
    <w:rsid w:val="005E6ECF"/>
    <w:rsid w:val="0062416E"/>
    <w:rsid w:val="00653584"/>
    <w:rsid w:val="006C0B87"/>
    <w:rsid w:val="006C180A"/>
    <w:rsid w:val="006D3161"/>
    <w:rsid w:val="006F11BB"/>
    <w:rsid w:val="0074261A"/>
    <w:rsid w:val="00814C9B"/>
    <w:rsid w:val="008250E0"/>
    <w:rsid w:val="008773D6"/>
    <w:rsid w:val="008C4E14"/>
    <w:rsid w:val="00922A13"/>
    <w:rsid w:val="009628F1"/>
    <w:rsid w:val="00982527"/>
    <w:rsid w:val="009A27E1"/>
    <w:rsid w:val="009D730A"/>
    <w:rsid w:val="00A145A3"/>
    <w:rsid w:val="00A414A2"/>
    <w:rsid w:val="00A44EA8"/>
    <w:rsid w:val="00A94222"/>
    <w:rsid w:val="00B009AA"/>
    <w:rsid w:val="00B121F0"/>
    <w:rsid w:val="00B43317"/>
    <w:rsid w:val="00BF65F3"/>
    <w:rsid w:val="00C8012A"/>
    <w:rsid w:val="00CD2FF0"/>
    <w:rsid w:val="00D15FC4"/>
    <w:rsid w:val="00D63DB2"/>
    <w:rsid w:val="00D92E34"/>
    <w:rsid w:val="00DB2425"/>
    <w:rsid w:val="00DD2B07"/>
    <w:rsid w:val="00DE182C"/>
    <w:rsid w:val="00DE39B4"/>
    <w:rsid w:val="00E226BF"/>
    <w:rsid w:val="00E50758"/>
    <w:rsid w:val="00E65078"/>
    <w:rsid w:val="00E82898"/>
    <w:rsid w:val="00E91304"/>
    <w:rsid w:val="00EB0399"/>
    <w:rsid w:val="00EC3C76"/>
    <w:rsid w:val="00EE082E"/>
    <w:rsid w:val="00FA4F92"/>
    <w:rsid w:val="00FC62A1"/>
    <w:rsid w:val="00FD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 Unicode M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Выделение жирным"/>
    <w:rPr>
      <w:b/>
      <w:bCs/>
    </w:rPr>
  </w:style>
  <w:style w:type="character" w:styleId="a4">
    <w:name w:val="Emphasis"/>
    <w:rPr>
      <w:i/>
      <w:iCs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Title"/>
    <w:basedOn w:val="a"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customStyle="1" w:styleId="aa">
    <w:name w:val="Заглавие"/>
    <w:basedOn w:val="a"/>
    <w:pPr>
      <w:suppressLineNumbers/>
      <w:spacing w:before="120" w:after="120"/>
    </w:pPr>
    <w:rPr>
      <w:i/>
      <w:iCs/>
    </w:rPr>
  </w:style>
  <w:style w:type="paragraph" w:customStyle="1" w:styleId="ab">
    <w:name w:val="Текст в заданном формате"/>
    <w:basedOn w:val="a"/>
    <w:qFormat/>
    <w:rPr>
      <w:rFonts w:ascii="Liberation Mono" w:eastAsia="NSimSun" w:hAnsi="Liberation Mono" w:cs="Liberation Mono"/>
      <w:sz w:val="20"/>
      <w:szCs w:val="20"/>
    </w:rPr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  <w:style w:type="paragraph" w:styleId="ae">
    <w:name w:val="Balloon Text"/>
    <w:basedOn w:val="a"/>
    <w:link w:val="af"/>
    <w:uiPriority w:val="99"/>
    <w:semiHidden/>
    <w:unhideWhenUsed/>
    <w:rsid w:val="00DB2425"/>
    <w:rPr>
      <w:rFonts w:ascii="Tahoma" w:hAnsi="Tahoma" w:cs="Mangal"/>
      <w:sz w:val="16"/>
      <w:szCs w:val="14"/>
    </w:rPr>
  </w:style>
  <w:style w:type="character" w:customStyle="1" w:styleId="af">
    <w:name w:val="Текст выноски Знак"/>
    <w:basedOn w:val="a0"/>
    <w:link w:val="ae"/>
    <w:uiPriority w:val="99"/>
    <w:semiHidden/>
    <w:rsid w:val="00DB2425"/>
    <w:rPr>
      <w:rFonts w:ascii="Tahoma" w:hAnsi="Tahoma" w:cs="Mangal"/>
      <w:color w:val="00000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B336C-A465-465E-9389-41239017D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3036</TotalTime>
  <Pages>3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ведущий_инженер</cp:lastModifiedBy>
  <cp:revision>121</cp:revision>
  <cp:lastPrinted>2024-01-26T06:06:00Z</cp:lastPrinted>
  <dcterms:created xsi:type="dcterms:W3CDTF">2021-01-26T10:49:00Z</dcterms:created>
  <dcterms:modified xsi:type="dcterms:W3CDTF">2025-01-30T12:20:00Z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